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before="480" w:lineRule="auto"/>
        <w:rPr>
          <w:b w:val="1"/>
        </w:rPr>
      </w:pPr>
      <w:bookmarkStart w:colFirst="0" w:colLast="0" w:name="_53mmbcsezdsc" w:id="0"/>
      <w:bookmarkEnd w:id="0"/>
      <w:r w:rsidDel="00000000" w:rsidR="00000000" w:rsidRPr="00000000">
        <w:rPr>
          <w:b w:val="1"/>
          <w:rtl w:val="0"/>
        </w:rPr>
        <w:t xml:space="preserve">The xDR Coach: Building the Right Pay Structure for SDRs and AEs: A Guide for SaaS Startups and Scaleups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5cc2v758tss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1. Defining the Roles and Alignment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Effective compensation starts with clear role differentiation. Sales Development Representatives (</w:t>
      </w:r>
      <w:r w:rsidDel="00000000" w:rsidR="00000000" w:rsidRPr="00000000">
        <w:rPr>
          <w:b w:val="1"/>
          <w:rtl w:val="0"/>
        </w:rPr>
        <w:t xml:space="preserve">SDRs</w:t>
      </w:r>
      <w:r w:rsidDel="00000000" w:rsidR="00000000" w:rsidRPr="00000000">
        <w:rPr>
          <w:rtl w:val="0"/>
        </w:rPr>
        <w:t xml:space="preserve">) and Account Executives (</w:t>
      </w:r>
      <w:r w:rsidDel="00000000" w:rsidR="00000000" w:rsidRPr="00000000">
        <w:rPr>
          <w:b w:val="1"/>
          <w:rtl w:val="0"/>
        </w:rPr>
        <w:t xml:space="preserve">AEs</w:t>
      </w:r>
      <w:r w:rsidDel="00000000" w:rsidR="00000000" w:rsidRPr="00000000">
        <w:rPr>
          <w:rtl w:val="0"/>
        </w:rPr>
        <w:t xml:space="preserve">) are fundamentally different, and their pay structures must reflect their unique contributions to revenue generation.</w:t>
      </w:r>
    </w:p>
    <w:tbl>
      <w:tblPr>
        <w:tblStyle w:val="Table1"/>
        <w:tblW w:w="158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6600"/>
        <w:gridCol w:w="7095"/>
        <w:tblGridChange w:id="0">
          <w:tblGrid>
            <w:gridCol w:w="2160"/>
            <w:gridCol w:w="6600"/>
            <w:gridCol w:w="7095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Feature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Sales Development Representative (SDR)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Account Executive (AE)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Primary Focus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Pipeline Generation</w:t>
            </w:r>
            <w:r w:rsidDel="00000000" w:rsidR="00000000" w:rsidRPr="00000000">
              <w:rPr>
                <w:rtl w:val="0"/>
              </w:rPr>
              <w:t xml:space="preserve"> (Top of Funnel)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Revenue Generation/Closing</w:t>
            </w:r>
            <w:r w:rsidDel="00000000" w:rsidR="00000000" w:rsidRPr="00000000">
              <w:rPr>
                <w:rtl w:val="0"/>
              </w:rPr>
              <w:t xml:space="preserve"> (Bottom of Funnel)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Key Activity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Prospecting, qualification, booking meetings, lead nurturing.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Running discovery/demo calls, negotiation, managing the sales cycle, closing deals.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Qualified Meetings / Sales Accepted Opportunities (</w:t>
            </w:r>
            <w:r w:rsidDel="00000000" w:rsidR="00000000" w:rsidRPr="00000000">
              <w:rPr>
                <w:b w:val="1"/>
                <w:rtl w:val="0"/>
              </w:rPr>
              <w:t xml:space="preserve">SAOs</w:t>
            </w:r>
            <w:r w:rsidDel="00000000" w:rsidR="00000000" w:rsidRPr="00000000">
              <w:rPr>
                <w:rtl w:val="0"/>
              </w:rPr>
              <w:t xml:space="preserve">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New Annual/Monthly Recurring Revenue (</w:t>
            </w:r>
            <w:r w:rsidDel="00000000" w:rsidR="00000000" w:rsidRPr="00000000">
              <w:rPr>
                <w:b w:val="1"/>
                <w:rtl w:val="0"/>
              </w:rPr>
              <w:t xml:space="preserve">ARR/MRR</w:t>
            </w:r>
            <w:r w:rsidDel="00000000" w:rsidR="00000000" w:rsidRPr="00000000">
              <w:rPr>
                <w:rtl w:val="0"/>
              </w:rPr>
              <w:t xml:space="preserve">).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Success Metric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High activity, high-quality opportunity handoff to the AE.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High win rate, high Average Contract Value (</w:t>
            </w:r>
            <w:r w:rsidDel="00000000" w:rsidR="00000000" w:rsidRPr="00000000">
              <w:rPr>
                <w:b w:val="1"/>
                <w:rtl w:val="0"/>
              </w:rPr>
              <w:t xml:space="preserve">ACV</w:t>
            </w:r>
            <w:r w:rsidDel="00000000" w:rsidR="00000000" w:rsidRPr="00000000">
              <w:rPr>
                <w:rtl w:val="0"/>
              </w:rPr>
              <w:t xml:space="preserve">), quota attainment.</w:t>
            </w:r>
          </w:p>
        </w:tc>
      </w:tr>
    </w:tbl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b2iqbwp4ppd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Why the Pay Must Be Different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blended plan is a mistake. SDR pay must incentivise the </w:t>
      </w:r>
      <w:r w:rsidDel="00000000" w:rsidR="00000000" w:rsidRPr="00000000">
        <w:rPr>
          <w:b w:val="1"/>
          <w:rtl w:val="0"/>
        </w:rPr>
        <w:t xml:space="preserve">creation of high-quality pipeline</w:t>
      </w:r>
      <w:r w:rsidDel="00000000" w:rsidR="00000000" w:rsidRPr="00000000">
        <w:rPr>
          <w:rtl w:val="0"/>
        </w:rPr>
        <w:t xml:space="preserve">, while AE pay must be heavily tied to </w:t>
      </w:r>
      <w:r w:rsidDel="00000000" w:rsidR="00000000" w:rsidRPr="00000000">
        <w:rPr>
          <w:b w:val="1"/>
          <w:rtl w:val="0"/>
        </w:rPr>
        <w:t xml:space="preserve">closed revenue</w:t>
      </w:r>
      <w:r w:rsidDel="00000000" w:rsidR="00000000" w:rsidRPr="00000000">
        <w:rPr>
          <w:rtl w:val="0"/>
        </w:rPr>
        <w:t xml:space="preserve"> and the efficient management of the entire sales cycle.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2. Scaling Compensation: Startup vs. Scaleup Models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compensation plan must evolve as your company transitions from a high-risk venture (Startup) to a process-driven growth engine (Scaleup). The key shifts are in </w:t>
      </w:r>
      <w:r w:rsidDel="00000000" w:rsidR="00000000" w:rsidRPr="00000000">
        <w:rPr>
          <w:b w:val="1"/>
          <w:rtl w:val="0"/>
        </w:rPr>
        <w:t xml:space="preserve">risk absorption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efficiency incentives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o9lh9sbyybo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A. The Startup Compensation Model (Focus: Validation &amp; Pipeline)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Attract early talent despite the product risk, incentivise pipeline </w:t>
      </w:r>
      <w:r w:rsidDel="00000000" w:rsidR="00000000" w:rsidRPr="00000000">
        <w:rPr>
          <w:i w:val="1"/>
          <w:rtl w:val="0"/>
        </w:rPr>
        <w:t xml:space="preserve">creation</w:t>
      </w:r>
      <w:r w:rsidDel="00000000" w:rsidR="00000000" w:rsidRPr="00000000">
        <w:rPr>
          <w:rtl w:val="0"/>
        </w:rPr>
        <w:t xml:space="preserve"> above all else, and prioritise cash-generating deals.</w:t>
      </w:r>
    </w:p>
    <w:tbl>
      <w:tblPr>
        <w:tblStyle w:val="Table2"/>
        <w:tblW w:w="156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0"/>
        <w:gridCol w:w="3135"/>
        <w:gridCol w:w="5160"/>
        <w:gridCol w:w="6285"/>
        <w:tblGridChange w:id="0">
          <w:tblGrid>
            <w:gridCol w:w="1050"/>
            <w:gridCol w:w="3135"/>
            <w:gridCol w:w="5160"/>
            <w:gridCol w:w="6285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Pay Mix (Base/Variable)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Core Incentive Metrics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Rationale for Startup</w:t>
            </w:r>
          </w:p>
        </w:tc>
      </w:tr>
      <w:tr>
        <w:trPr>
          <w:cantSplit w:val="0"/>
          <w:trHeight w:val="19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SDR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70/30 or 65/35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1. Qualified Meetings Held.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rtl w:val="0"/>
              </w:rPr>
              <w:t xml:space="preserve">2. Sales Accepted Opportunities (SAOs).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rtl w:val="0"/>
              </w:rPr>
              <w:t xml:space="preserve">3. Small Closed-Won Bonus (1-3%).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Higher Base</w:t>
            </w:r>
            <w:r w:rsidDel="00000000" w:rsidR="00000000" w:rsidRPr="00000000">
              <w:rPr>
                <w:rtl w:val="0"/>
              </w:rPr>
              <w:t xml:space="preserve"> mitigates the financial risk for entry-level reps selling an unproven product, lowering turnover. Incentives are weighted toward pipeline </w:t>
            </w:r>
            <w:r w:rsidDel="00000000" w:rsidR="00000000" w:rsidRPr="00000000">
              <w:rPr>
                <w:i w:val="1"/>
                <w:rtl w:val="0"/>
              </w:rPr>
              <w:t xml:space="preserve">volume</w:t>
            </w:r>
            <w:r w:rsidDel="00000000" w:rsidR="00000000" w:rsidRPr="00000000">
              <w:rPr>
                <w:rtl w:val="0"/>
              </w:rPr>
              <w:t xml:space="preserve"> and </w:t>
            </w:r>
            <w:r w:rsidDel="00000000" w:rsidR="00000000" w:rsidRPr="00000000">
              <w:rPr>
                <w:i w:val="1"/>
                <w:rtl w:val="0"/>
              </w:rPr>
              <w:t xml:space="preserve">qualification</w:t>
            </w:r>
            <w:r w:rsidDel="00000000" w:rsidR="00000000" w:rsidRPr="00000000">
              <w:rPr>
                <w:rtl w:val="0"/>
              </w:rPr>
              <w:t xml:space="preserve"> (SAOs), the primary focus of the early phase.</w:t>
            </w:r>
          </w:p>
        </w:tc>
      </w:tr>
      <w:tr>
        <w:trPr>
          <w:cantSplit w:val="0"/>
          <w:trHeight w:val="19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50/50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1. High Commission Rate</w:t>
            </w:r>
            <w:r w:rsidDel="00000000" w:rsidR="00000000" w:rsidRPr="00000000">
              <w:rPr>
                <w:rtl w:val="0"/>
              </w:rPr>
              <w:t xml:space="preserve"> (12-15% of first-year ARR).</w:t>
              <w:br w:type="textWrapping"/>
            </w:r>
            <w:r w:rsidDel="00000000" w:rsidR="00000000" w:rsidRPr="00000000">
              <w:rPr>
                <w:b w:val="1"/>
                <w:rtl w:val="0"/>
              </w:rPr>
              <w:t xml:space="preserve">2. Bonuses for Multi-Year Contracts.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High Commission Rate</w:t>
            </w:r>
            <w:r w:rsidDel="00000000" w:rsidR="00000000" w:rsidRPr="00000000">
              <w:rPr>
                <w:rtl w:val="0"/>
              </w:rPr>
              <w:t xml:space="preserve"> compensates the AE for the difficulty of closing early-stage, risky deals. The 50/50 split ensures high hunger for closing. Bonuses prioritise cash-flow stability (multi-year deals).</w:t>
            </w:r>
          </w:p>
        </w:tc>
      </w:tr>
    </w:tbl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7q4gyda900z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B. The Scaleup Compensation Model (Focus: Predictable &amp; Efficient Growth)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Reward efficiency, over-performance, and ensure commissions are only paid for predictable, qualified growth.</w:t>
      </w:r>
    </w:p>
    <w:tbl>
      <w:tblPr>
        <w:tblStyle w:val="Table3"/>
        <w:tblW w:w="155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5"/>
        <w:gridCol w:w="3225"/>
        <w:gridCol w:w="5115"/>
        <w:gridCol w:w="6300"/>
        <w:tblGridChange w:id="0">
          <w:tblGrid>
            <w:gridCol w:w="945"/>
            <w:gridCol w:w="3225"/>
            <w:gridCol w:w="5115"/>
            <w:gridCol w:w="6300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Pay Mix (Base/Variable)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Core Incentive Metrics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Rationale for Scaleup</w:t>
            </w:r>
          </w:p>
        </w:tc>
      </w:tr>
      <w:tr>
        <w:trPr>
          <w:cantSplit w:val="0"/>
          <w:trHeight w:val="19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SDR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60/40 or 50/50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1. Sales Accepted Opportunities (SAOs).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rtl w:val="0"/>
              </w:rPr>
              <w:t xml:space="preserve">2. Meaningful Closed-Won Commission</w:t>
            </w:r>
            <w:r w:rsidDel="00000000" w:rsidR="00000000" w:rsidRPr="00000000">
              <w:rPr>
                <w:rtl w:val="0"/>
              </w:rPr>
              <w:t xml:space="preserve"> (5-8% of first-month MRR or 1-2% of first-year ARR).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The </w:t>
            </w:r>
            <w:r w:rsidDel="00000000" w:rsidR="00000000" w:rsidRPr="00000000">
              <w:rPr>
                <w:b w:val="1"/>
                <w:rtl w:val="0"/>
              </w:rPr>
              <w:t xml:space="preserve">Base is lower relative to OTE</w:t>
            </w:r>
            <w:r w:rsidDel="00000000" w:rsidR="00000000" w:rsidRPr="00000000">
              <w:rPr>
                <w:rtl w:val="0"/>
              </w:rPr>
              <w:t xml:space="preserve"> as the brand is established. The meaningful Closed-Won component forces SDRs to focus on </w:t>
            </w:r>
            <w:r w:rsidDel="00000000" w:rsidR="00000000" w:rsidRPr="00000000">
              <w:rPr>
                <w:b w:val="1"/>
                <w:rtl w:val="0"/>
              </w:rPr>
              <w:t xml:space="preserve">lead quality</w:t>
            </w:r>
            <w:r w:rsidDel="00000000" w:rsidR="00000000" w:rsidRPr="00000000">
              <w:rPr>
                <w:rtl w:val="0"/>
              </w:rPr>
              <w:t xml:space="preserve">, directly tying their success to AE revenue.</w:t>
            </w:r>
          </w:p>
        </w:tc>
      </w:tr>
      <w:tr>
        <w:trPr>
          <w:cantSplit w:val="0"/>
          <w:trHeight w:val="22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50/50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1. Moderate Core Commission</w:t>
            </w:r>
            <w:r w:rsidDel="00000000" w:rsidR="00000000" w:rsidRPr="00000000">
              <w:rPr>
                <w:rtl w:val="0"/>
              </w:rPr>
              <w:t xml:space="preserve"> (9-11% of first-year ARR).</w:t>
              <w:br w:type="textWrapping"/>
            </w:r>
            <w:r w:rsidDel="00000000" w:rsidR="00000000" w:rsidRPr="00000000">
              <w:rPr>
                <w:b w:val="1"/>
                <w:rtl w:val="0"/>
              </w:rPr>
              <w:t xml:space="preserve">2. Aggressive Accelerators.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rtl w:val="0"/>
              </w:rPr>
              <w:t xml:space="preserve">3. Gated Commission Model (Optional).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A </w:t>
            </w:r>
            <w:r w:rsidDel="00000000" w:rsidR="00000000" w:rsidRPr="00000000">
              <w:rPr>
                <w:b w:val="1"/>
                <w:rtl w:val="0"/>
              </w:rPr>
              <w:t xml:space="preserve">Lower Core Commission</w:t>
            </w:r>
            <w:r w:rsidDel="00000000" w:rsidR="00000000" w:rsidRPr="00000000">
              <w:rPr>
                <w:rtl w:val="0"/>
              </w:rPr>
              <w:t xml:space="preserve"> protects margins now that the product is proven. Focus shifts to </w:t>
            </w:r>
            <w:r w:rsidDel="00000000" w:rsidR="00000000" w:rsidRPr="00000000">
              <w:rPr>
                <w:b w:val="1"/>
                <w:rtl w:val="0"/>
              </w:rPr>
              <w:t xml:space="preserve">Accelerators</w:t>
            </w:r>
            <w:r w:rsidDel="00000000" w:rsidR="00000000" w:rsidRPr="00000000">
              <w:rPr>
                <w:rtl w:val="0"/>
              </w:rPr>
              <w:t xml:space="preserve"> (1.5x+ rate above 100% quota) to drive elite performance. The </w:t>
            </w:r>
            <w:r w:rsidDel="00000000" w:rsidR="00000000" w:rsidRPr="00000000">
              <w:rPr>
                <w:b w:val="1"/>
                <w:rtl w:val="0"/>
              </w:rPr>
              <w:t xml:space="preserve">Gated Model</w:t>
            </w:r>
            <w:r w:rsidDel="00000000" w:rsidR="00000000" w:rsidRPr="00000000">
              <w:rPr>
                <w:rtl w:val="0"/>
              </w:rPr>
              <w:t xml:space="preserve"> enforces disciplined quota attainment (Optional).</w:t>
            </w:r>
          </w:p>
        </w:tc>
      </w:tr>
    </w:tbl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1pr1j1o672k2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3. Overview of Compensation Structure Mechanics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On-Target Earnings (</w:t>
      </w:r>
      <w:r w:rsidDel="00000000" w:rsidR="00000000" w:rsidRPr="00000000">
        <w:rPr>
          <w:b w:val="1"/>
          <w:rtl w:val="0"/>
        </w:rPr>
        <w:t xml:space="preserve">OTE</w:t>
      </w:r>
      <w:r w:rsidDel="00000000" w:rsidR="00000000" w:rsidRPr="00000000">
        <w:rPr>
          <w:rtl w:val="0"/>
        </w:rPr>
        <w:t xml:space="preserve">) is the total planned compensation when 100% of the quota is achieved (Base + Variable).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lwhmtdlzawa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SDR Compensation Breakdown Example (65/35 Split)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54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2505"/>
        <w:gridCol w:w="4755"/>
        <w:gridCol w:w="5505"/>
        <w:tblGridChange w:id="0">
          <w:tblGrid>
            <w:gridCol w:w="2700"/>
            <w:gridCol w:w="2505"/>
            <w:gridCol w:w="4755"/>
            <w:gridCol w:w="5505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Component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% of Variable Comp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Metric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Payout Details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Base Salary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65% of OTE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Fixed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Paid monthly/bi-weekly.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Variable Comp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35% of OTE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Performance-based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Total potential bonus at 100% attainment.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1. Qualified Meetings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50% of Variable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Flat rate per meeting </w:t>
            </w:r>
            <w:r w:rsidDel="00000000" w:rsidR="00000000" w:rsidRPr="00000000">
              <w:rPr>
                <w:b w:val="1"/>
                <w:rtl w:val="0"/>
              </w:rPr>
              <w:t xml:space="preserve">Held</w:t>
            </w:r>
            <w:r w:rsidDel="00000000" w:rsidR="00000000" w:rsidRPr="00000000">
              <w:rPr>
                <w:rtl w:val="0"/>
              </w:rPr>
              <w:t xml:space="preserve"> (post-AE acceptance).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Incentivises volume and initial qualification.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2. SAO/SQL Creation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40% of Variable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Higher flat rate per opportunity that meets </w:t>
            </w:r>
            <w:r w:rsidDel="00000000" w:rsidR="00000000" w:rsidRPr="00000000">
              <w:rPr>
                <w:b w:val="1"/>
                <w:rtl w:val="0"/>
              </w:rPr>
              <w:t xml:space="preserve">Sales Accepted Criteria</w:t>
            </w:r>
            <w:r w:rsidDel="00000000" w:rsidR="00000000" w:rsidRPr="00000000">
              <w:rPr>
                <w:rtl w:val="0"/>
              </w:rPr>
              <w:t xml:space="preserve"> (e.g., confirmed budget, authority, need, and timeline—BANT).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Incentivises high-quality, actionable pipeline.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3. Closed-Won Bonus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10% of Variable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Small flat bonus or tiny percentage of ARR upon deal closing.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The final incentive for quality and alignment with the AE.</w:t>
            </w:r>
          </w:p>
        </w:tc>
      </w:tr>
    </w:tbl>
    <w:p w:rsidR="00000000" w:rsidDel="00000000" w:rsidP="00000000" w:rsidRDefault="00000000" w:rsidRPr="00000000" w14:paraId="0000004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r9wvgmubo2w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AE Compensation Breakdown Example (50/50 Split)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54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5"/>
        <w:gridCol w:w="2535"/>
        <w:gridCol w:w="4740"/>
        <w:gridCol w:w="5445"/>
        <w:tblGridChange w:id="0">
          <w:tblGrid>
            <w:gridCol w:w="2685"/>
            <w:gridCol w:w="2535"/>
            <w:gridCol w:w="4740"/>
            <w:gridCol w:w="544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Component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% of OTE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Metric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Payout Details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Base Salary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50% of OTE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Fixed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Paid monthly/bi-weekly.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Commission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50% of OTE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Performance-based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Calculated as a percentage of new ARR/TCV closed.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Core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10% of first-year ARR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Paid for all revenue closed up to 100% of quarterly quota.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Accelerator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15% - 20% of first-year ARR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Paid for all revenue closed </w:t>
            </w:r>
            <w:r w:rsidDel="00000000" w:rsidR="00000000" w:rsidRPr="00000000">
              <w:rPr>
                <w:b w:val="1"/>
                <w:rtl w:val="0"/>
              </w:rPr>
              <w:t xml:space="preserve">above</w:t>
            </w:r>
            <w:r w:rsidDel="00000000" w:rsidR="00000000" w:rsidRPr="00000000">
              <w:rPr>
                <w:rtl w:val="0"/>
              </w:rPr>
              <w:t xml:space="preserve"> 100% of quota.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Crucial for top-rep motivation and retention.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SPIFFs/Bonuses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Variable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Flat bonus for multi-year contracts, new market logos, or strategic product upsells.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Drives specific, desired business behavior.</w:t>
            </w:r>
          </w:p>
        </w:tc>
      </w:tr>
    </w:tbl>
    <w:p w:rsidR="00000000" w:rsidDel="00000000" w:rsidP="00000000" w:rsidRDefault="00000000" w:rsidRPr="00000000" w14:paraId="0000006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lrjrmnzl8ji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4. The Gated Commission Model (for Scaleup AEs)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Gated Commission Model (or </w:t>
      </w:r>
      <w:r w:rsidDel="00000000" w:rsidR="00000000" w:rsidRPr="00000000">
        <w:rPr>
          <w:b w:val="1"/>
          <w:rtl w:val="0"/>
        </w:rPr>
        <w:t xml:space="preserve">Quota Hurdle</w:t>
      </w:r>
      <w:r w:rsidDel="00000000" w:rsidR="00000000" w:rsidRPr="00000000">
        <w:rPr>
          <w:rtl w:val="0"/>
        </w:rPr>
        <w:t xml:space="preserve">) is a powerful tool to protect cash flow and enforce performance discipline. It should be implemented once your business model is proven (Scaleup phase).</w:t>
      </w:r>
    </w:p>
    <w:p w:rsidR="00000000" w:rsidDel="00000000" w:rsidP="00000000" w:rsidRDefault="00000000" w:rsidRPr="00000000" w14:paraId="0000006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flpya6aznx9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How the Gate Works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 AE must achieve a minimum threshold of their quota (the "Gate") before they are eligible to receive their full commission payout on any closed revenue.</w:t>
      </w:r>
    </w:p>
    <w:tbl>
      <w:tblPr>
        <w:tblStyle w:val="Table6"/>
        <w:tblW w:w="153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50"/>
        <w:gridCol w:w="5430"/>
        <w:gridCol w:w="6150"/>
        <w:tblGridChange w:id="0">
          <w:tblGrid>
            <w:gridCol w:w="3750"/>
            <w:gridCol w:w="5430"/>
            <w:gridCol w:w="615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Performance Band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Commission Payout Rate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Rationale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Below Gate</w:t>
            </w:r>
            <w:r w:rsidDel="00000000" w:rsidR="00000000" w:rsidRPr="00000000">
              <w:rPr>
                <w:rtl w:val="0"/>
              </w:rPr>
              <w:t xml:space="preserve"> (e.g., &lt; 75% of Quota)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0% or Decelerated Rate</w:t>
            </w:r>
            <w:r w:rsidDel="00000000" w:rsidR="00000000" w:rsidRPr="00000000">
              <w:rPr>
                <w:rtl w:val="0"/>
              </w:rPr>
              <w:t xml:space="preserve"> (e.g., 5% commission)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Limits company exposure to underperformers. Creates massive incentive to push for the gate.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At or Above Gate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(e.g., ≥ 75% of Quota)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100% Core Rate</w:t>
            </w:r>
            <w:r w:rsidDel="00000000" w:rsidR="00000000" w:rsidRPr="00000000">
              <w:rPr>
                <w:rtl w:val="0"/>
              </w:rPr>
              <w:t xml:space="preserve"> (Paid retroactively to $0 of closed revenue)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Fully unlocks the commission plan, rewarding all revenue generated.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Above Quota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(≥ 100% of Quota)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Accelerator Rate</w:t>
            </w:r>
            <w:r w:rsidDel="00000000" w:rsidR="00000000" w:rsidRPr="00000000">
              <w:rPr>
                <w:rtl w:val="0"/>
              </w:rPr>
              <w:t xml:space="preserve"> (e.g., 15-20% commission)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Rewards high-achieving, efficient reps.</w:t>
            </w:r>
          </w:p>
        </w:tc>
      </w:tr>
    </w:tbl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Example:</w:t>
      </w:r>
      <w:r w:rsidDel="00000000" w:rsidR="00000000" w:rsidRPr="00000000">
        <w:rPr>
          <w:rtl w:val="0"/>
        </w:rPr>
        <w:t xml:space="preserve"> An AE with a $200,000 quarterly quota and a 75% Gate ($150,000).</w:t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If they close </w:t>
      </w:r>
      <w:r w:rsidDel="00000000" w:rsidR="00000000" w:rsidRPr="00000000">
        <w:rPr>
          <w:b w:val="1"/>
          <w:rtl w:val="0"/>
        </w:rPr>
        <w:t xml:space="preserve">$140,000</w:t>
      </w:r>
      <w:r w:rsidDel="00000000" w:rsidR="00000000" w:rsidRPr="00000000">
        <w:rPr>
          <w:rtl w:val="0"/>
        </w:rPr>
        <w:t xml:space="preserve"> (70%), they get no commission (or only the low decelerated floor).</w:t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they close </w:t>
      </w:r>
      <w:r w:rsidDel="00000000" w:rsidR="00000000" w:rsidRPr="00000000">
        <w:rPr>
          <w:b w:val="1"/>
          <w:rtl w:val="0"/>
        </w:rPr>
        <w:t xml:space="preserve">$150,000</w:t>
      </w:r>
      <w:r w:rsidDel="00000000" w:rsidR="00000000" w:rsidRPr="00000000">
        <w:rPr>
          <w:rtl w:val="0"/>
        </w:rPr>
        <w:t xml:space="preserve"> (75%), they immediately unlock the full 10% rate on all $150,000 closed, earning $15,000.</w:t>
      </w:r>
    </w:p>
    <w:p w:rsidR="00000000" w:rsidDel="00000000" w:rsidP="00000000" w:rsidRDefault="00000000" w:rsidRPr="00000000" w14:paraId="0000007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rdak6sq6nq1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Best Practices for Implementation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Keep it Simple:</w:t>
      </w:r>
      <w:r w:rsidDel="00000000" w:rsidR="00000000" w:rsidRPr="00000000">
        <w:rPr>
          <w:rtl w:val="0"/>
        </w:rPr>
        <w:t xml:space="preserve"> Limit the total number of components (metrics, bonuses) to three or four per role. Complexity kills motivation.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Align to Churn:</w:t>
      </w:r>
      <w:r w:rsidDel="00000000" w:rsidR="00000000" w:rsidRPr="00000000">
        <w:rPr>
          <w:rtl w:val="0"/>
        </w:rPr>
        <w:t xml:space="preserve"> Implement </w:t>
      </w:r>
      <w:r w:rsidDel="00000000" w:rsidR="00000000" w:rsidRPr="00000000">
        <w:rPr>
          <w:b w:val="1"/>
          <w:rtl w:val="0"/>
        </w:rPr>
        <w:t xml:space="preserve">clawback</w:t>
      </w:r>
      <w:r w:rsidDel="00000000" w:rsidR="00000000" w:rsidRPr="00000000">
        <w:rPr>
          <w:rtl w:val="0"/>
        </w:rPr>
        <w:t xml:space="preserve"> clauses. If a customer churns within the first 90-180 days, recoup the commission paid to the AE. This discourages selling to "bad fit" customers.</w:t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Review Constantly:</w:t>
      </w:r>
      <w:r w:rsidDel="00000000" w:rsidR="00000000" w:rsidRPr="00000000">
        <w:rPr>
          <w:rtl w:val="0"/>
        </w:rPr>
        <w:t xml:space="preserve"> Quotas should be set using historical data, not arbitrary targets. Review quota attainment and commission rates quarterly, but only make major structural changes annually to maintain rep trust.</w:t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Ramp for New Hires:</w:t>
      </w:r>
      <w:r w:rsidDel="00000000" w:rsidR="00000000" w:rsidRPr="00000000">
        <w:rPr>
          <w:rtl w:val="0"/>
        </w:rPr>
        <w:t xml:space="preserve"> Always provide a guaranteed minimum OTE or a lower introductory quota for a 3-6 month </w:t>
      </w:r>
      <w:r w:rsidDel="00000000" w:rsidR="00000000" w:rsidRPr="00000000">
        <w:rPr>
          <w:b w:val="1"/>
          <w:rtl w:val="0"/>
        </w:rPr>
        <w:t xml:space="preserve">Ramp Period</w:t>
      </w:r>
      <w:r w:rsidDel="00000000" w:rsidR="00000000" w:rsidRPr="00000000">
        <w:rPr>
          <w:rtl w:val="0"/>
        </w:rPr>
        <w:t xml:space="preserve"> to allow new reps to build pipeline and learn the product without financial pressure.</w:t>
      </w:r>
    </w:p>
    <w:sectPr>
      <w:pgSz w:h="11906" w:w="16838" w:orient="landscape"/>
      <w:pgMar w:bottom="873.0708661417325" w:top="873.0708661417325" w:left="425.1968503937008" w:right="408.188976377952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